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83" w:rsidRPr="00EE774A" w:rsidRDefault="000B1283" w:rsidP="000B1283">
      <w:pPr>
        <w:rPr>
          <w:rFonts w:ascii="彩虹粗仿宋" w:eastAsia="彩虹粗仿宋"/>
          <w:b/>
          <w:color w:val="000000"/>
          <w:sz w:val="32"/>
          <w:szCs w:val="32"/>
        </w:rPr>
      </w:pPr>
      <w:r w:rsidRPr="00EE774A">
        <w:rPr>
          <w:rFonts w:ascii="彩虹粗仿宋" w:eastAsia="彩虹粗仿宋" w:hint="eastAsia"/>
          <w:b/>
          <w:color w:val="000000"/>
          <w:sz w:val="32"/>
          <w:szCs w:val="32"/>
        </w:rPr>
        <w:t>附件</w:t>
      </w:r>
      <w:r>
        <w:rPr>
          <w:rFonts w:ascii="彩虹粗仿宋" w:eastAsia="彩虹粗仿宋" w:hint="eastAsia"/>
          <w:b/>
          <w:color w:val="000000"/>
          <w:sz w:val="32"/>
          <w:szCs w:val="32"/>
        </w:rPr>
        <w:t>6</w:t>
      </w:r>
    </w:p>
    <w:p w:rsidR="000B1283" w:rsidRPr="00EE774A" w:rsidRDefault="000B1283" w:rsidP="000B1283">
      <w:pPr>
        <w:jc w:val="center"/>
        <w:rPr>
          <w:b/>
          <w:color w:val="000000"/>
          <w:sz w:val="32"/>
          <w:szCs w:val="32"/>
        </w:rPr>
      </w:pPr>
      <w:r w:rsidRPr="00EE774A">
        <w:rPr>
          <w:rFonts w:hint="eastAsia"/>
          <w:b/>
          <w:color w:val="000000"/>
          <w:sz w:val="32"/>
          <w:szCs w:val="32"/>
        </w:rPr>
        <w:t>“乾元—</w:t>
      </w:r>
      <w:r>
        <w:rPr>
          <w:rFonts w:hint="eastAsia"/>
          <w:b/>
          <w:color w:val="000000"/>
          <w:sz w:val="32"/>
          <w:szCs w:val="32"/>
        </w:rPr>
        <w:t>满溢</w:t>
      </w:r>
      <w:r w:rsidRPr="00EE774A">
        <w:rPr>
          <w:rFonts w:hint="eastAsia"/>
          <w:b/>
          <w:color w:val="000000"/>
          <w:sz w:val="32"/>
          <w:szCs w:val="32"/>
        </w:rPr>
        <w:t>”</w:t>
      </w:r>
      <w:r w:rsidRPr="002E4F4A">
        <w:rPr>
          <w:rFonts w:hint="eastAsia"/>
          <w:b/>
          <w:color w:val="000000"/>
          <w:sz w:val="32"/>
          <w:szCs w:val="32"/>
        </w:rPr>
        <w:t xml:space="preserve"> 120</w:t>
      </w:r>
      <w:r w:rsidRPr="002E4F4A">
        <w:rPr>
          <w:rFonts w:hint="eastAsia"/>
          <w:b/>
          <w:color w:val="000000"/>
          <w:sz w:val="32"/>
          <w:szCs w:val="32"/>
        </w:rPr>
        <w:t>天开放式资产组合型人民币理财产品（机构版）</w:t>
      </w:r>
      <w:r w:rsidRPr="00EE774A">
        <w:rPr>
          <w:rFonts w:hint="eastAsia"/>
          <w:b/>
          <w:color w:val="000000"/>
          <w:sz w:val="32"/>
          <w:szCs w:val="32"/>
        </w:rPr>
        <w:t>月度投资管理报告</w:t>
      </w:r>
    </w:p>
    <w:p w:rsidR="000B1283" w:rsidRPr="00EE774A" w:rsidRDefault="000B1283" w:rsidP="000B1283">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C75735">
        <w:rPr>
          <w:rFonts w:ascii="宋体" w:hAnsi="宋体" w:hint="eastAsia"/>
          <w:color w:val="000000"/>
          <w:szCs w:val="21"/>
        </w:rPr>
        <w:t>8</w:t>
      </w:r>
      <w:r w:rsidRPr="00EE774A">
        <w:rPr>
          <w:rFonts w:ascii="宋体" w:hAnsi="宋体" w:hint="eastAsia"/>
          <w:color w:val="000000"/>
          <w:szCs w:val="21"/>
        </w:rPr>
        <w:t>年</w:t>
      </w:r>
      <w:r w:rsidR="000B3870">
        <w:rPr>
          <w:rFonts w:ascii="宋体" w:hAnsi="宋体" w:hint="eastAsia"/>
          <w:color w:val="000000"/>
          <w:szCs w:val="21"/>
        </w:rPr>
        <w:t>5</w:t>
      </w:r>
      <w:r>
        <w:rPr>
          <w:rFonts w:ascii="宋体" w:hAnsi="宋体" w:hint="eastAsia"/>
          <w:color w:val="000000"/>
          <w:szCs w:val="21"/>
        </w:rPr>
        <w:t>月</w:t>
      </w:r>
      <w:r w:rsidR="000B3870">
        <w:rPr>
          <w:rFonts w:ascii="宋体" w:hAnsi="宋体" w:hint="eastAsia"/>
          <w:color w:val="000000"/>
          <w:szCs w:val="21"/>
        </w:rPr>
        <w:t>31</w:t>
      </w:r>
      <w:r>
        <w:rPr>
          <w:rFonts w:ascii="宋体" w:hAnsi="宋体" w:hint="eastAsia"/>
          <w:color w:val="000000"/>
          <w:szCs w:val="21"/>
        </w:rPr>
        <w:t xml:space="preserve">日    </w:t>
      </w:r>
    </w:p>
    <w:p w:rsidR="000B1283" w:rsidRPr="00315C8E" w:rsidRDefault="000B1283" w:rsidP="000B3870">
      <w:pPr>
        <w:ind w:firstLine="420"/>
        <w:rPr>
          <w:rFonts w:ascii="宋体" w:hAnsi="宋体"/>
          <w:color w:val="000000"/>
          <w:sz w:val="28"/>
          <w:szCs w:val="28"/>
        </w:rPr>
      </w:pPr>
      <w:r w:rsidRPr="00EA49BE">
        <w:rPr>
          <w:rFonts w:ascii="宋体" w:hAnsi="宋体" w:hint="eastAsia"/>
          <w:color w:val="000000"/>
          <w:sz w:val="28"/>
          <w:szCs w:val="28"/>
        </w:rPr>
        <w:t>“乾元—满溢” 120天开放式资产组合型人民币理财产品（机构版）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6</w:t>
      </w:r>
      <w:r w:rsidRPr="00EE774A">
        <w:rPr>
          <w:rFonts w:ascii="宋体" w:hAnsi="宋体" w:hint="eastAsia"/>
          <w:color w:val="000000"/>
          <w:sz w:val="28"/>
          <w:szCs w:val="28"/>
        </w:rPr>
        <w:t>年</w:t>
      </w:r>
      <w:r>
        <w:rPr>
          <w:rFonts w:ascii="宋体" w:hAnsi="宋体" w:hint="eastAsia"/>
          <w:color w:val="000000"/>
          <w:sz w:val="28"/>
          <w:szCs w:val="28"/>
        </w:rPr>
        <w:t>5</w:t>
      </w:r>
      <w:r w:rsidRPr="00EE774A">
        <w:rPr>
          <w:rFonts w:ascii="宋体" w:hAnsi="宋体" w:hint="eastAsia"/>
          <w:color w:val="000000"/>
          <w:sz w:val="28"/>
          <w:szCs w:val="28"/>
        </w:rPr>
        <w:t>月</w:t>
      </w:r>
      <w:r>
        <w:rPr>
          <w:rFonts w:ascii="宋体" w:hAnsi="宋体" w:hint="eastAsia"/>
          <w:color w:val="000000"/>
          <w:sz w:val="28"/>
          <w:szCs w:val="28"/>
        </w:rPr>
        <w:t>12</w:t>
      </w:r>
      <w:r w:rsidRPr="00EE774A">
        <w:rPr>
          <w:rFonts w:ascii="宋体" w:hAnsi="宋体" w:hint="eastAsia"/>
          <w:color w:val="000000"/>
          <w:sz w:val="28"/>
          <w:szCs w:val="28"/>
        </w:rPr>
        <w:t>日正式成立。截至报告日，本产品规模为</w:t>
      </w:r>
      <w:r w:rsidR="000B3870" w:rsidRPr="000B3870">
        <w:rPr>
          <w:rFonts w:ascii="宋体" w:hAnsi="宋体" w:hint="eastAsia"/>
          <w:color w:val="000000"/>
          <w:sz w:val="28"/>
          <w:szCs w:val="28"/>
        </w:rPr>
        <w:t>1,710,872,421.00</w:t>
      </w:r>
      <w:r w:rsidRPr="00315C8E">
        <w:rPr>
          <w:rFonts w:ascii="宋体" w:hAnsi="宋体" w:hint="eastAsia"/>
          <w:color w:val="000000"/>
          <w:sz w:val="28"/>
          <w:szCs w:val="28"/>
        </w:rPr>
        <w:t>元。</w:t>
      </w:r>
    </w:p>
    <w:p w:rsidR="000B1283" w:rsidRPr="00EE774A" w:rsidRDefault="000B1283" w:rsidP="000B1283">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0B683A" w:rsidRPr="000B683A" w:rsidRDefault="000B683A" w:rsidP="000B683A">
      <w:pPr>
        <w:spacing w:line="560" w:lineRule="exact"/>
        <w:ind w:firstLineChars="200" w:firstLine="560"/>
        <w:rPr>
          <w:rFonts w:ascii="宋体" w:hAnsi="宋体" w:hint="eastAsia"/>
          <w:color w:val="000000"/>
          <w:sz w:val="28"/>
          <w:szCs w:val="28"/>
        </w:rPr>
      </w:pPr>
      <w:r w:rsidRPr="000B683A">
        <w:rPr>
          <w:rFonts w:ascii="宋体" w:hAnsi="宋体" w:hint="eastAsia"/>
          <w:color w:val="000000"/>
          <w:sz w:val="28"/>
          <w:szCs w:val="28"/>
        </w:rPr>
        <w:t>中国建设银行于2018年5月30日（含）起，调整“乾元—满溢”120天开放式资产组合型人民币理财产品（机构版）客户预期年化收益率，具体如下表：</w:t>
      </w:r>
    </w:p>
    <w:p w:rsidR="000B683A" w:rsidRPr="000B72AC" w:rsidRDefault="000B683A" w:rsidP="000B683A">
      <w:pPr>
        <w:spacing w:line="560" w:lineRule="exact"/>
        <w:ind w:firstLineChars="200" w:firstLine="640"/>
        <w:rPr>
          <w:rFonts w:ascii="彩虹粗仿宋" w:eastAsia="彩虹粗仿宋" w:hint="eastAsia"/>
          <w:sz w:val="32"/>
          <w:szCs w:val="32"/>
        </w:rPr>
      </w:pPr>
    </w:p>
    <w:tbl>
      <w:tblPr>
        <w:tblW w:w="3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2551"/>
        <w:gridCol w:w="2268"/>
      </w:tblGrid>
      <w:tr w:rsidR="000B683A" w:rsidRPr="000B683A" w:rsidTr="000B683A">
        <w:trPr>
          <w:trHeight w:val="20"/>
          <w:tblHeader/>
          <w:jc w:val="center"/>
        </w:trPr>
        <w:tc>
          <w:tcPr>
            <w:tcW w:w="1882" w:type="dxa"/>
            <w:vAlign w:val="center"/>
            <w:hideMark/>
          </w:tcPr>
          <w:p w:rsidR="000B683A" w:rsidRPr="000B683A" w:rsidRDefault="000B683A" w:rsidP="002460FF">
            <w:pPr>
              <w:adjustRightInd w:val="0"/>
              <w:snapToGrid w:val="0"/>
              <w:jc w:val="center"/>
              <w:rPr>
                <w:rFonts w:asciiTheme="majorEastAsia" w:eastAsiaTheme="majorEastAsia" w:hAnsiTheme="majorEastAsia" w:cs="宋体"/>
                <w:color w:val="000000"/>
                <w:kern w:val="0"/>
                <w:sz w:val="22"/>
              </w:rPr>
            </w:pPr>
            <w:r w:rsidRPr="000B683A">
              <w:rPr>
                <w:rFonts w:asciiTheme="majorEastAsia" w:eastAsiaTheme="majorEastAsia" w:hAnsiTheme="majorEastAsia" w:cs="宋体" w:hint="eastAsia"/>
                <w:color w:val="000000"/>
                <w:kern w:val="0"/>
                <w:sz w:val="22"/>
              </w:rPr>
              <w:t>档期设置</w:t>
            </w:r>
          </w:p>
        </w:tc>
        <w:tc>
          <w:tcPr>
            <w:tcW w:w="2551" w:type="dxa"/>
            <w:vAlign w:val="center"/>
            <w:hideMark/>
          </w:tcPr>
          <w:p w:rsidR="000B683A" w:rsidRPr="000B683A" w:rsidRDefault="000B683A" w:rsidP="002460FF">
            <w:pPr>
              <w:adjustRightInd w:val="0"/>
              <w:snapToGrid w:val="0"/>
              <w:jc w:val="center"/>
              <w:rPr>
                <w:rFonts w:asciiTheme="majorEastAsia" w:eastAsiaTheme="majorEastAsia" w:hAnsiTheme="majorEastAsia" w:cs="宋体"/>
                <w:color w:val="000000"/>
                <w:kern w:val="0"/>
                <w:sz w:val="22"/>
              </w:rPr>
            </w:pPr>
            <w:r w:rsidRPr="000B683A">
              <w:rPr>
                <w:rFonts w:asciiTheme="majorEastAsia" w:eastAsiaTheme="majorEastAsia" w:hAnsiTheme="majorEastAsia" w:cs="宋体" w:hint="eastAsia"/>
                <w:color w:val="000000"/>
                <w:kern w:val="0"/>
                <w:sz w:val="22"/>
              </w:rPr>
              <w:t>客户预期年化收益率</w:t>
            </w:r>
          </w:p>
          <w:p w:rsidR="000B683A" w:rsidRPr="000B683A" w:rsidRDefault="000B683A" w:rsidP="002460FF">
            <w:pPr>
              <w:adjustRightInd w:val="0"/>
              <w:snapToGrid w:val="0"/>
              <w:jc w:val="center"/>
              <w:rPr>
                <w:rFonts w:asciiTheme="majorEastAsia" w:eastAsiaTheme="majorEastAsia" w:hAnsiTheme="majorEastAsia" w:cs="宋体"/>
                <w:color w:val="000000"/>
                <w:kern w:val="0"/>
                <w:sz w:val="22"/>
              </w:rPr>
            </w:pPr>
            <w:r w:rsidRPr="000B683A">
              <w:rPr>
                <w:rFonts w:asciiTheme="majorEastAsia" w:eastAsiaTheme="majorEastAsia" w:hAnsiTheme="majorEastAsia" w:cs="宋体" w:hint="eastAsia"/>
                <w:color w:val="000000"/>
                <w:kern w:val="0"/>
                <w:sz w:val="22"/>
              </w:rPr>
              <w:t>（调整前）</w:t>
            </w:r>
          </w:p>
        </w:tc>
        <w:tc>
          <w:tcPr>
            <w:tcW w:w="2268" w:type="dxa"/>
            <w:hideMark/>
          </w:tcPr>
          <w:p w:rsidR="000B683A" w:rsidRPr="000B683A" w:rsidRDefault="000B683A" w:rsidP="002460FF">
            <w:pPr>
              <w:adjustRightInd w:val="0"/>
              <w:snapToGrid w:val="0"/>
              <w:jc w:val="center"/>
              <w:rPr>
                <w:rFonts w:asciiTheme="majorEastAsia" w:eastAsiaTheme="majorEastAsia" w:hAnsiTheme="majorEastAsia" w:cs="宋体"/>
                <w:color w:val="000000"/>
                <w:kern w:val="0"/>
                <w:sz w:val="22"/>
              </w:rPr>
            </w:pPr>
            <w:r w:rsidRPr="000B683A">
              <w:rPr>
                <w:rFonts w:asciiTheme="majorEastAsia" w:eastAsiaTheme="majorEastAsia" w:hAnsiTheme="majorEastAsia" w:cs="宋体" w:hint="eastAsia"/>
                <w:color w:val="000000"/>
                <w:kern w:val="0"/>
                <w:sz w:val="22"/>
              </w:rPr>
              <w:t>客户预期年化收益率</w:t>
            </w:r>
          </w:p>
          <w:p w:rsidR="000B683A" w:rsidRPr="000B683A" w:rsidRDefault="000B683A" w:rsidP="002460FF">
            <w:pPr>
              <w:adjustRightInd w:val="0"/>
              <w:snapToGrid w:val="0"/>
              <w:jc w:val="center"/>
              <w:rPr>
                <w:rFonts w:asciiTheme="majorEastAsia" w:eastAsiaTheme="majorEastAsia" w:hAnsiTheme="majorEastAsia" w:cs="宋体"/>
                <w:color w:val="000000"/>
                <w:kern w:val="0"/>
                <w:sz w:val="22"/>
              </w:rPr>
            </w:pPr>
            <w:r w:rsidRPr="000B683A">
              <w:rPr>
                <w:rFonts w:asciiTheme="majorEastAsia" w:eastAsiaTheme="majorEastAsia" w:hAnsiTheme="majorEastAsia" w:cs="宋体" w:hint="eastAsia"/>
                <w:color w:val="000000"/>
                <w:kern w:val="0"/>
                <w:sz w:val="22"/>
              </w:rPr>
              <w:t>（调整后）</w:t>
            </w:r>
          </w:p>
        </w:tc>
      </w:tr>
      <w:tr w:rsidR="000B683A" w:rsidRPr="000B683A" w:rsidTr="000B683A">
        <w:trPr>
          <w:trHeight w:val="20"/>
          <w:jc w:val="center"/>
        </w:trPr>
        <w:tc>
          <w:tcPr>
            <w:tcW w:w="1882" w:type="dxa"/>
            <w:vAlign w:val="center"/>
            <w:hideMark/>
          </w:tcPr>
          <w:p w:rsidR="000B683A" w:rsidRPr="000B683A" w:rsidRDefault="000B683A" w:rsidP="002460FF">
            <w:pPr>
              <w:adjustRightInd w:val="0"/>
              <w:snapToGrid w:val="0"/>
              <w:jc w:val="center"/>
              <w:rPr>
                <w:rFonts w:asciiTheme="majorEastAsia" w:eastAsiaTheme="majorEastAsia" w:hAnsiTheme="majorEastAsia" w:cs="Calibri"/>
                <w:color w:val="000000"/>
                <w:kern w:val="0"/>
                <w:sz w:val="22"/>
              </w:rPr>
            </w:pPr>
            <w:r w:rsidRPr="000B683A">
              <w:rPr>
                <w:rFonts w:asciiTheme="majorEastAsia" w:eastAsiaTheme="majorEastAsia" w:hAnsiTheme="majorEastAsia" w:cs="Calibri" w:hint="eastAsia"/>
                <w:color w:val="000000"/>
                <w:kern w:val="0"/>
                <w:sz w:val="22"/>
              </w:rPr>
              <w:t>120天</w:t>
            </w:r>
          </w:p>
        </w:tc>
        <w:tc>
          <w:tcPr>
            <w:tcW w:w="2551" w:type="dxa"/>
            <w:hideMark/>
          </w:tcPr>
          <w:p w:rsidR="000B683A" w:rsidRPr="000B683A" w:rsidRDefault="000B683A" w:rsidP="002460FF">
            <w:pPr>
              <w:adjustRightInd w:val="0"/>
              <w:snapToGrid w:val="0"/>
              <w:jc w:val="center"/>
              <w:rPr>
                <w:rFonts w:asciiTheme="majorEastAsia" w:eastAsiaTheme="majorEastAsia" w:hAnsiTheme="majorEastAsia" w:cs="宋体"/>
                <w:color w:val="000000"/>
                <w:kern w:val="0"/>
                <w:sz w:val="22"/>
              </w:rPr>
            </w:pPr>
            <w:r w:rsidRPr="000B683A">
              <w:rPr>
                <w:rFonts w:asciiTheme="majorEastAsia" w:eastAsiaTheme="majorEastAsia" w:hAnsiTheme="majorEastAsia" w:cs="宋体" w:hint="eastAsia"/>
                <w:color w:val="000000"/>
                <w:kern w:val="0"/>
                <w:sz w:val="22"/>
              </w:rPr>
              <w:t>4.75%</w:t>
            </w:r>
          </w:p>
        </w:tc>
        <w:tc>
          <w:tcPr>
            <w:tcW w:w="2268" w:type="dxa"/>
            <w:hideMark/>
          </w:tcPr>
          <w:p w:rsidR="000B683A" w:rsidRPr="000B683A" w:rsidRDefault="000B683A" w:rsidP="002460FF">
            <w:pPr>
              <w:adjustRightInd w:val="0"/>
              <w:snapToGrid w:val="0"/>
              <w:jc w:val="center"/>
              <w:rPr>
                <w:rFonts w:asciiTheme="majorEastAsia" w:eastAsiaTheme="majorEastAsia" w:hAnsiTheme="majorEastAsia" w:cs="宋体"/>
                <w:color w:val="000000"/>
                <w:kern w:val="0"/>
                <w:sz w:val="22"/>
              </w:rPr>
            </w:pPr>
            <w:r w:rsidRPr="000B683A">
              <w:rPr>
                <w:rFonts w:asciiTheme="majorEastAsia" w:eastAsiaTheme="majorEastAsia" w:hAnsiTheme="majorEastAsia" w:cs="宋体" w:hint="eastAsia"/>
                <w:color w:val="000000"/>
                <w:kern w:val="0"/>
                <w:sz w:val="22"/>
              </w:rPr>
              <w:t>4.55%</w:t>
            </w:r>
          </w:p>
        </w:tc>
      </w:tr>
    </w:tbl>
    <w:p w:rsidR="000B683A" w:rsidRPr="000B683A" w:rsidRDefault="000B683A" w:rsidP="000B683A">
      <w:pPr>
        <w:spacing w:line="560" w:lineRule="exact"/>
        <w:ind w:firstLineChars="200" w:firstLine="560"/>
        <w:rPr>
          <w:rFonts w:ascii="宋体" w:hAnsi="宋体" w:hint="eastAsia"/>
          <w:color w:val="000000"/>
          <w:sz w:val="28"/>
          <w:szCs w:val="28"/>
        </w:rPr>
      </w:pPr>
    </w:p>
    <w:p w:rsidR="000B683A" w:rsidRPr="000B683A" w:rsidRDefault="000B683A" w:rsidP="000B683A">
      <w:pPr>
        <w:spacing w:line="560" w:lineRule="exact"/>
        <w:ind w:firstLineChars="200" w:firstLine="560"/>
        <w:rPr>
          <w:rFonts w:ascii="宋体" w:hAnsi="宋体" w:hint="eastAsia"/>
          <w:color w:val="000000"/>
          <w:sz w:val="28"/>
          <w:szCs w:val="28"/>
        </w:rPr>
      </w:pPr>
      <w:r w:rsidRPr="000B683A">
        <w:rPr>
          <w:rFonts w:ascii="宋体" w:hAnsi="宋体" w:hint="eastAsia"/>
          <w:color w:val="000000"/>
          <w:sz w:val="28"/>
          <w:szCs w:val="28"/>
        </w:rPr>
        <w:t>新客户预期年化收益率于2018年5月30日（含）起执行。对于2018年5月30日（不含）前已经购买成功且未赎回的存量投资本金，其中封闭期内的份额仍按照购买确认日当日的客户预期年化收益率计算投资收益，非封闭期内的份额从2018年5月30日（含）起按调整后的预期年化收益率计算投资收益。2018年5月30日（含）后购买的部分自动执行调整后的客户预期年化收益率。但前述情形下的最终投资收益均以我行最终支付的实际年化收益率为准。</w:t>
      </w:r>
    </w:p>
    <w:p w:rsidR="000B1283" w:rsidRPr="00EE774A" w:rsidRDefault="000B1283" w:rsidP="000B1283">
      <w:pPr>
        <w:ind w:firstLineChars="200" w:firstLine="56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0B1283" w:rsidRPr="00EE774A" w:rsidRDefault="000B1283" w:rsidP="000B1283">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二、产品投资组合详细情况</w:t>
      </w:r>
    </w:p>
    <w:p w:rsidR="000B1283" w:rsidRPr="00EE774A" w:rsidRDefault="000B1283" w:rsidP="000B1283">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（一）投资组合的基本情况</w:t>
      </w:r>
    </w:p>
    <w:p w:rsidR="000B1283" w:rsidRPr="00EE774A" w:rsidRDefault="00022FAD" w:rsidP="000B1283">
      <w:pPr>
        <w:jc w:val="center"/>
        <w:rPr>
          <w:rFonts w:ascii="宋体" w:hAnsi="宋体"/>
          <w:color w:val="000000"/>
          <w:sz w:val="28"/>
          <w:szCs w:val="28"/>
        </w:rPr>
      </w:pPr>
      <w:r>
        <w:rPr>
          <w:noProof/>
        </w:rPr>
        <w:drawing>
          <wp:inline distT="0" distB="0" distL="0" distR="0" wp14:anchorId="7F96D0AC" wp14:editId="70A59825">
            <wp:extent cx="3695700" cy="20193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B1283" w:rsidRPr="00EE774A" w:rsidRDefault="000B1283" w:rsidP="000B1283">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0B1283" w:rsidRPr="00EE774A" w:rsidRDefault="00022FAD" w:rsidP="000B1283">
      <w:pPr>
        <w:jc w:val="center"/>
        <w:rPr>
          <w:rFonts w:ascii="宋体" w:hAnsi="宋体"/>
          <w:color w:val="000000"/>
          <w:sz w:val="28"/>
          <w:szCs w:val="28"/>
        </w:rPr>
      </w:pPr>
      <w:r>
        <w:rPr>
          <w:noProof/>
        </w:rPr>
        <w:drawing>
          <wp:inline distT="0" distB="0" distL="0" distR="0" wp14:anchorId="43D9DE49" wp14:editId="39014A01">
            <wp:extent cx="3295650" cy="1695450"/>
            <wp:effectExtent l="0" t="0" r="1905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1283" w:rsidRPr="00EE774A" w:rsidRDefault="000B1283" w:rsidP="000B1283">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C75BE9">
        <w:rPr>
          <w:rFonts w:ascii="宋体" w:hAnsi="宋体" w:hint="eastAsia"/>
          <w:b/>
          <w:color w:val="000000"/>
          <w:sz w:val="28"/>
          <w:szCs w:val="28"/>
        </w:rPr>
        <w:t>融资类资产的行业占比构成</w:t>
      </w:r>
      <w:r>
        <w:rPr>
          <w:rFonts w:ascii="宋体" w:hAnsi="宋体" w:hint="eastAsia"/>
          <w:b/>
          <w:color w:val="000000"/>
          <w:sz w:val="28"/>
          <w:szCs w:val="28"/>
        </w:rPr>
        <w:t>及当月增减变化</w:t>
      </w:r>
      <w:r w:rsidRPr="00C75BE9">
        <w:rPr>
          <w:rFonts w:ascii="宋体" w:hAnsi="宋体" w:hint="eastAsia"/>
          <w:b/>
          <w:color w:val="000000"/>
          <w:sz w:val="28"/>
          <w:szCs w:val="28"/>
        </w:rPr>
        <w:t>情况</w:t>
      </w:r>
    </w:p>
    <w:p w:rsidR="000B1283" w:rsidRPr="005622F6" w:rsidRDefault="00022FAD" w:rsidP="00D51792">
      <w:pPr>
        <w:ind w:left="142" w:right="1400" w:firstLine="420"/>
        <w:jc w:val="center"/>
        <w:rPr>
          <w:rFonts w:ascii="宋体" w:hAnsi="宋体"/>
          <w:color w:val="000000"/>
          <w:sz w:val="28"/>
          <w:szCs w:val="28"/>
        </w:rPr>
      </w:pPr>
      <w:r>
        <w:rPr>
          <w:noProof/>
        </w:rPr>
        <w:drawing>
          <wp:inline distT="0" distB="0" distL="0" distR="0" wp14:anchorId="561DA19A" wp14:editId="69D9A36E">
            <wp:extent cx="5274310" cy="2222218"/>
            <wp:effectExtent l="0" t="0" r="21590" b="260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1283" w:rsidRPr="00EE774A" w:rsidRDefault="000B1283" w:rsidP="000B1283">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0B1283" w:rsidRPr="00EE774A" w:rsidRDefault="000B1283" w:rsidP="000B1283">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0B1283" w:rsidRPr="00EE774A" w:rsidRDefault="000B1283" w:rsidP="000B1283">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w:t>
      </w:r>
      <w:r w:rsidRPr="00EE774A">
        <w:rPr>
          <w:rFonts w:ascii="宋体" w:hAnsi="宋体" w:hint="eastAsia"/>
          <w:color w:val="000000"/>
          <w:sz w:val="28"/>
          <w:szCs w:val="28"/>
        </w:rPr>
        <w:lastRenderedPageBreak/>
        <w:t>或者不利情况。</w:t>
      </w:r>
    </w:p>
    <w:p w:rsidR="000B1283" w:rsidRPr="00EE774A" w:rsidRDefault="000B1283" w:rsidP="000B1283">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0B1283" w:rsidRPr="00EE774A" w:rsidRDefault="000B1283" w:rsidP="000B1283">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8431E5" w:rsidRDefault="000B1283" w:rsidP="000B1283">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8431E5">
        <w:rPr>
          <w:rFonts w:ascii="宋体" w:hAnsi="宋体" w:hint="eastAsia"/>
          <w:color w:val="000000"/>
          <w:sz w:val="28"/>
          <w:szCs w:val="28"/>
        </w:rPr>
        <w:t>8</w:t>
      </w:r>
      <w:r>
        <w:rPr>
          <w:rFonts w:ascii="宋体" w:hAnsi="宋体" w:hint="eastAsia"/>
          <w:color w:val="000000"/>
          <w:sz w:val="28"/>
          <w:szCs w:val="28"/>
        </w:rPr>
        <w:t>年</w:t>
      </w:r>
      <w:r w:rsidR="00A37A76">
        <w:rPr>
          <w:rFonts w:ascii="宋体" w:hAnsi="宋体" w:hint="eastAsia"/>
          <w:color w:val="000000"/>
          <w:sz w:val="28"/>
          <w:szCs w:val="28"/>
        </w:rPr>
        <w:t>6</w:t>
      </w:r>
      <w:r>
        <w:rPr>
          <w:rFonts w:ascii="宋体" w:hAnsi="宋体" w:hint="eastAsia"/>
          <w:color w:val="000000"/>
          <w:sz w:val="28"/>
          <w:szCs w:val="28"/>
        </w:rPr>
        <w:t>月</w:t>
      </w:r>
      <w:r w:rsidR="00A37A76">
        <w:rPr>
          <w:rFonts w:ascii="宋体" w:hAnsi="宋体" w:hint="eastAsia"/>
          <w:color w:val="000000"/>
          <w:sz w:val="28"/>
          <w:szCs w:val="28"/>
        </w:rPr>
        <w:t>5</w:t>
      </w:r>
      <w:r>
        <w:rPr>
          <w:rFonts w:ascii="宋体" w:hAnsi="宋体" w:hint="eastAsia"/>
          <w:color w:val="000000"/>
          <w:sz w:val="28"/>
          <w:szCs w:val="28"/>
        </w:rPr>
        <w:t>日</w:t>
      </w:r>
    </w:p>
    <w:p w:rsidR="008431E5" w:rsidRDefault="008431E5">
      <w:pPr>
        <w:widowControl/>
        <w:jc w:val="left"/>
        <w:rPr>
          <w:rFonts w:ascii="宋体" w:hAnsi="宋体"/>
          <w:color w:val="000000"/>
          <w:sz w:val="28"/>
          <w:szCs w:val="28"/>
        </w:rPr>
      </w:pPr>
      <w:bookmarkStart w:id="0" w:name="_GoBack"/>
      <w:bookmarkEnd w:id="0"/>
    </w:p>
    <w:sectPr w:rsidR="008431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F5" w:rsidRDefault="002B58F5" w:rsidP="000B1283">
      <w:r>
        <w:separator/>
      </w:r>
    </w:p>
  </w:endnote>
  <w:endnote w:type="continuationSeparator" w:id="0">
    <w:p w:rsidR="002B58F5" w:rsidRDefault="002B58F5" w:rsidP="000B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F5" w:rsidRDefault="002B58F5" w:rsidP="000B1283">
      <w:r>
        <w:separator/>
      </w:r>
    </w:p>
  </w:footnote>
  <w:footnote w:type="continuationSeparator" w:id="0">
    <w:p w:rsidR="002B58F5" w:rsidRDefault="002B58F5" w:rsidP="000B1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20"/>
    <w:rsid w:val="00022FAD"/>
    <w:rsid w:val="00023BBB"/>
    <w:rsid w:val="00042BB4"/>
    <w:rsid w:val="000B1283"/>
    <w:rsid w:val="000B3870"/>
    <w:rsid w:val="000B683A"/>
    <w:rsid w:val="000C2BB6"/>
    <w:rsid w:val="00101F83"/>
    <w:rsid w:val="001415F8"/>
    <w:rsid w:val="00141F6E"/>
    <w:rsid w:val="00153C80"/>
    <w:rsid w:val="00182852"/>
    <w:rsid w:val="001C4A95"/>
    <w:rsid w:val="00243466"/>
    <w:rsid w:val="002B58F5"/>
    <w:rsid w:val="002C5665"/>
    <w:rsid w:val="002D207F"/>
    <w:rsid w:val="00310D79"/>
    <w:rsid w:val="00315C8E"/>
    <w:rsid w:val="00344398"/>
    <w:rsid w:val="003936FB"/>
    <w:rsid w:val="004410CF"/>
    <w:rsid w:val="004F5658"/>
    <w:rsid w:val="005527B7"/>
    <w:rsid w:val="005861EE"/>
    <w:rsid w:val="00594AC7"/>
    <w:rsid w:val="006B3011"/>
    <w:rsid w:val="006D3BE6"/>
    <w:rsid w:val="007A44C4"/>
    <w:rsid w:val="007D3020"/>
    <w:rsid w:val="008202E8"/>
    <w:rsid w:val="00830F3B"/>
    <w:rsid w:val="00835921"/>
    <w:rsid w:val="008431E5"/>
    <w:rsid w:val="008B48D4"/>
    <w:rsid w:val="008F15F8"/>
    <w:rsid w:val="008F1F29"/>
    <w:rsid w:val="00916BB5"/>
    <w:rsid w:val="009519EB"/>
    <w:rsid w:val="00970E29"/>
    <w:rsid w:val="00A37A76"/>
    <w:rsid w:val="00A454DC"/>
    <w:rsid w:val="00A63A1E"/>
    <w:rsid w:val="00A66F45"/>
    <w:rsid w:val="00A90D29"/>
    <w:rsid w:val="00AC5803"/>
    <w:rsid w:val="00B61805"/>
    <w:rsid w:val="00BF1B8C"/>
    <w:rsid w:val="00C239F1"/>
    <w:rsid w:val="00C4532F"/>
    <w:rsid w:val="00C50DA2"/>
    <w:rsid w:val="00C62AF2"/>
    <w:rsid w:val="00C75735"/>
    <w:rsid w:val="00CA3871"/>
    <w:rsid w:val="00D51792"/>
    <w:rsid w:val="00DD71F4"/>
    <w:rsid w:val="00E21A22"/>
    <w:rsid w:val="00E32909"/>
    <w:rsid w:val="00E35735"/>
    <w:rsid w:val="00EB6A09"/>
    <w:rsid w:val="00F77876"/>
    <w:rsid w:val="00FA6499"/>
    <w:rsid w:val="00FB24FD"/>
    <w:rsid w:val="00FB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2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B1283"/>
    <w:rPr>
      <w:sz w:val="18"/>
      <w:szCs w:val="18"/>
    </w:rPr>
  </w:style>
  <w:style w:type="paragraph" w:styleId="a4">
    <w:name w:val="footer"/>
    <w:basedOn w:val="a"/>
    <w:link w:val="Char0"/>
    <w:uiPriority w:val="99"/>
    <w:unhideWhenUsed/>
    <w:rsid w:val="000B12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B1283"/>
    <w:rPr>
      <w:sz w:val="18"/>
      <w:szCs w:val="18"/>
    </w:rPr>
  </w:style>
  <w:style w:type="paragraph" w:styleId="a5">
    <w:name w:val="Balloon Text"/>
    <w:basedOn w:val="a"/>
    <w:link w:val="Char1"/>
    <w:uiPriority w:val="99"/>
    <w:semiHidden/>
    <w:unhideWhenUsed/>
    <w:rsid w:val="000B1283"/>
    <w:rPr>
      <w:sz w:val="18"/>
      <w:szCs w:val="18"/>
    </w:rPr>
  </w:style>
  <w:style w:type="character" w:customStyle="1" w:styleId="Char1">
    <w:name w:val="批注框文本 Char"/>
    <w:basedOn w:val="a0"/>
    <w:link w:val="a5"/>
    <w:uiPriority w:val="99"/>
    <w:semiHidden/>
    <w:rsid w:val="000B1283"/>
    <w:rPr>
      <w:rFonts w:ascii="Calibri" w:eastAsia="宋体" w:hAnsi="Calibri" w:cs="Times New Roman"/>
      <w:sz w:val="18"/>
      <w:szCs w:val="18"/>
    </w:rPr>
  </w:style>
  <w:style w:type="paragraph" w:styleId="a6">
    <w:name w:val="Normal (Web)"/>
    <w:basedOn w:val="a"/>
    <w:uiPriority w:val="99"/>
    <w:unhideWhenUsed/>
    <w:rsid w:val="00C7573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757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2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B1283"/>
    <w:rPr>
      <w:sz w:val="18"/>
      <w:szCs w:val="18"/>
    </w:rPr>
  </w:style>
  <w:style w:type="paragraph" w:styleId="a4">
    <w:name w:val="footer"/>
    <w:basedOn w:val="a"/>
    <w:link w:val="Char0"/>
    <w:uiPriority w:val="99"/>
    <w:unhideWhenUsed/>
    <w:rsid w:val="000B12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B1283"/>
    <w:rPr>
      <w:sz w:val="18"/>
      <w:szCs w:val="18"/>
    </w:rPr>
  </w:style>
  <w:style w:type="paragraph" w:styleId="a5">
    <w:name w:val="Balloon Text"/>
    <w:basedOn w:val="a"/>
    <w:link w:val="Char1"/>
    <w:uiPriority w:val="99"/>
    <w:semiHidden/>
    <w:unhideWhenUsed/>
    <w:rsid w:val="000B1283"/>
    <w:rPr>
      <w:sz w:val="18"/>
      <w:szCs w:val="18"/>
    </w:rPr>
  </w:style>
  <w:style w:type="character" w:customStyle="1" w:styleId="Char1">
    <w:name w:val="批注框文本 Char"/>
    <w:basedOn w:val="a0"/>
    <w:link w:val="a5"/>
    <w:uiPriority w:val="99"/>
    <w:semiHidden/>
    <w:rsid w:val="000B1283"/>
    <w:rPr>
      <w:rFonts w:ascii="Calibri" w:eastAsia="宋体" w:hAnsi="Calibri" w:cs="Times New Roman"/>
      <w:sz w:val="18"/>
      <w:szCs w:val="18"/>
    </w:rPr>
  </w:style>
  <w:style w:type="paragraph" w:styleId="a6">
    <w:name w:val="Normal (Web)"/>
    <w:basedOn w:val="a"/>
    <w:uiPriority w:val="99"/>
    <w:unhideWhenUsed/>
    <w:rsid w:val="00C7573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75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928">
      <w:bodyDiv w:val="1"/>
      <w:marLeft w:val="0"/>
      <w:marRight w:val="0"/>
      <w:marTop w:val="0"/>
      <w:marBottom w:val="0"/>
      <w:divBdr>
        <w:top w:val="none" w:sz="0" w:space="0" w:color="auto"/>
        <w:left w:val="none" w:sz="0" w:space="0" w:color="auto"/>
        <w:bottom w:val="none" w:sz="0" w:space="0" w:color="auto"/>
        <w:right w:val="none" w:sz="0" w:space="0" w:color="auto"/>
      </w:divBdr>
    </w:div>
    <w:div w:id="136918742">
      <w:bodyDiv w:val="1"/>
      <w:marLeft w:val="0"/>
      <w:marRight w:val="0"/>
      <w:marTop w:val="0"/>
      <w:marBottom w:val="0"/>
      <w:divBdr>
        <w:top w:val="none" w:sz="0" w:space="0" w:color="auto"/>
        <w:left w:val="none" w:sz="0" w:space="0" w:color="auto"/>
        <w:bottom w:val="none" w:sz="0" w:space="0" w:color="auto"/>
        <w:right w:val="none" w:sz="0" w:space="0" w:color="auto"/>
      </w:divBdr>
    </w:div>
    <w:div w:id="140851525">
      <w:bodyDiv w:val="1"/>
      <w:marLeft w:val="0"/>
      <w:marRight w:val="0"/>
      <w:marTop w:val="0"/>
      <w:marBottom w:val="0"/>
      <w:divBdr>
        <w:top w:val="none" w:sz="0" w:space="0" w:color="auto"/>
        <w:left w:val="none" w:sz="0" w:space="0" w:color="auto"/>
        <w:bottom w:val="none" w:sz="0" w:space="0" w:color="auto"/>
        <w:right w:val="none" w:sz="0" w:space="0" w:color="auto"/>
      </w:divBdr>
    </w:div>
    <w:div w:id="163060038">
      <w:bodyDiv w:val="1"/>
      <w:marLeft w:val="0"/>
      <w:marRight w:val="0"/>
      <w:marTop w:val="0"/>
      <w:marBottom w:val="0"/>
      <w:divBdr>
        <w:top w:val="none" w:sz="0" w:space="0" w:color="auto"/>
        <w:left w:val="none" w:sz="0" w:space="0" w:color="auto"/>
        <w:bottom w:val="none" w:sz="0" w:space="0" w:color="auto"/>
        <w:right w:val="none" w:sz="0" w:space="0" w:color="auto"/>
      </w:divBdr>
    </w:div>
    <w:div w:id="303169795">
      <w:bodyDiv w:val="1"/>
      <w:marLeft w:val="0"/>
      <w:marRight w:val="0"/>
      <w:marTop w:val="0"/>
      <w:marBottom w:val="0"/>
      <w:divBdr>
        <w:top w:val="none" w:sz="0" w:space="0" w:color="auto"/>
        <w:left w:val="none" w:sz="0" w:space="0" w:color="auto"/>
        <w:bottom w:val="none" w:sz="0" w:space="0" w:color="auto"/>
        <w:right w:val="none" w:sz="0" w:space="0" w:color="auto"/>
      </w:divBdr>
    </w:div>
    <w:div w:id="310837976">
      <w:bodyDiv w:val="1"/>
      <w:marLeft w:val="0"/>
      <w:marRight w:val="0"/>
      <w:marTop w:val="0"/>
      <w:marBottom w:val="0"/>
      <w:divBdr>
        <w:top w:val="none" w:sz="0" w:space="0" w:color="auto"/>
        <w:left w:val="none" w:sz="0" w:space="0" w:color="auto"/>
        <w:bottom w:val="none" w:sz="0" w:space="0" w:color="auto"/>
        <w:right w:val="none" w:sz="0" w:space="0" w:color="auto"/>
      </w:divBdr>
    </w:div>
    <w:div w:id="574782087">
      <w:bodyDiv w:val="1"/>
      <w:marLeft w:val="0"/>
      <w:marRight w:val="0"/>
      <w:marTop w:val="0"/>
      <w:marBottom w:val="0"/>
      <w:divBdr>
        <w:top w:val="none" w:sz="0" w:space="0" w:color="auto"/>
        <w:left w:val="none" w:sz="0" w:space="0" w:color="auto"/>
        <w:bottom w:val="none" w:sz="0" w:space="0" w:color="auto"/>
        <w:right w:val="none" w:sz="0" w:space="0" w:color="auto"/>
      </w:divBdr>
    </w:div>
    <w:div w:id="659890580">
      <w:bodyDiv w:val="1"/>
      <w:marLeft w:val="0"/>
      <w:marRight w:val="0"/>
      <w:marTop w:val="0"/>
      <w:marBottom w:val="0"/>
      <w:divBdr>
        <w:top w:val="none" w:sz="0" w:space="0" w:color="auto"/>
        <w:left w:val="none" w:sz="0" w:space="0" w:color="auto"/>
        <w:bottom w:val="none" w:sz="0" w:space="0" w:color="auto"/>
        <w:right w:val="none" w:sz="0" w:space="0" w:color="auto"/>
      </w:divBdr>
    </w:div>
    <w:div w:id="671568361">
      <w:bodyDiv w:val="1"/>
      <w:marLeft w:val="0"/>
      <w:marRight w:val="0"/>
      <w:marTop w:val="0"/>
      <w:marBottom w:val="0"/>
      <w:divBdr>
        <w:top w:val="none" w:sz="0" w:space="0" w:color="auto"/>
        <w:left w:val="none" w:sz="0" w:space="0" w:color="auto"/>
        <w:bottom w:val="none" w:sz="0" w:space="0" w:color="auto"/>
        <w:right w:val="none" w:sz="0" w:space="0" w:color="auto"/>
      </w:divBdr>
    </w:div>
    <w:div w:id="675883086">
      <w:bodyDiv w:val="1"/>
      <w:marLeft w:val="0"/>
      <w:marRight w:val="0"/>
      <w:marTop w:val="0"/>
      <w:marBottom w:val="0"/>
      <w:divBdr>
        <w:top w:val="none" w:sz="0" w:space="0" w:color="auto"/>
        <w:left w:val="none" w:sz="0" w:space="0" w:color="auto"/>
        <w:bottom w:val="none" w:sz="0" w:space="0" w:color="auto"/>
        <w:right w:val="none" w:sz="0" w:space="0" w:color="auto"/>
      </w:divBdr>
    </w:div>
    <w:div w:id="743333668">
      <w:bodyDiv w:val="1"/>
      <w:marLeft w:val="0"/>
      <w:marRight w:val="0"/>
      <w:marTop w:val="0"/>
      <w:marBottom w:val="0"/>
      <w:divBdr>
        <w:top w:val="none" w:sz="0" w:space="0" w:color="auto"/>
        <w:left w:val="none" w:sz="0" w:space="0" w:color="auto"/>
        <w:bottom w:val="none" w:sz="0" w:space="0" w:color="auto"/>
        <w:right w:val="none" w:sz="0" w:space="0" w:color="auto"/>
      </w:divBdr>
    </w:div>
    <w:div w:id="1012682681">
      <w:bodyDiv w:val="1"/>
      <w:marLeft w:val="0"/>
      <w:marRight w:val="0"/>
      <w:marTop w:val="0"/>
      <w:marBottom w:val="0"/>
      <w:divBdr>
        <w:top w:val="none" w:sz="0" w:space="0" w:color="auto"/>
        <w:left w:val="none" w:sz="0" w:space="0" w:color="auto"/>
        <w:bottom w:val="none" w:sz="0" w:space="0" w:color="auto"/>
        <w:right w:val="none" w:sz="0" w:space="0" w:color="auto"/>
      </w:divBdr>
    </w:div>
    <w:div w:id="1171918293">
      <w:bodyDiv w:val="1"/>
      <w:marLeft w:val="0"/>
      <w:marRight w:val="0"/>
      <w:marTop w:val="0"/>
      <w:marBottom w:val="0"/>
      <w:divBdr>
        <w:top w:val="none" w:sz="0" w:space="0" w:color="auto"/>
        <w:left w:val="none" w:sz="0" w:space="0" w:color="auto"/>
        <w:bottom w:val="none" w:sz="0" w:space="0" w:color="auto"/>
        <w:right w:val="none" w:sz="0" w:space="0" w:color="auto"/>
      </w:divBdr>
    </w:div>
    <w:div w:id="1189878286">
      <w:bodyDiv w:val="1"/>
      <w:marLeft w:val="0"/>
      <w:marRight w:val="0"/>
      <w:marTop w:val="0"/>
      <w:marBottom w:val="0"/>
      <w:divBdr>
        <w:top w:val="none" w:sz="0" w:space="0" w:color="auto"/>
        <w:left w:val="none" w:sz="0" w:space="0" w:color="auto"/>
        <w:bottom w:val="none" w:sz="0" w:space="0" w:color="auto"/>
        <w:right w:val="none" w:sz="0" w:space="0" w:color="auto"/>
      </w:divBdr>
    </w:div>
    <w:div w:id="1276788158">
      <w:bodyDiv w:val="1"/>
      <w:marLeft w:val="0"/>
      <w:marRight w:val="0"/>
      <w:marTop w:val="0"/>
      <w:marBottom w:val="0"/>
      <w:divBdr>
        <w:top w:val="none" w:sz="0" w:space="0" w:color="auto"/>
        <w:left w:val="none" w:sz="0" w:space="0" w:color="auto"/>
        <w:bottom w:val="none" w:sz="0" w:space="0" w:color="auto"/>
        <w:right w:val="none" w:sz="0" w:space="0" w:color="auto"/>
      </w:divBdr>
    </w:div>
    <w:div w:id="1473786724">
      <w:bodyDiv w:val="1"/>
      <w:marLeft w:val="0"/>
      <w:marRight w:val="0"/>
      <w:marTop w:val="0"/>
      <w:marBottom w:val="0"/>
      <w:divBdr>
        <w:top w:val="none" w:sz="0" w:space="0" w:color="auto"/>
        <w:left w:val="none" w:sz="0" w:space="0" w:color="auto"/>
        <w:bottom w:val="none" w:sz="0" w:space="0" w:color="auto"/>
        <w:right w:val="none" w:sz="0" w:space="0" w:color="auto"/>
      </w:divBdr>
    </w:div>
    <w:div w:id="1699311808">
      <w:bodyDiv w:val="1"/>
      <w:marLeft w:val="0"/>
      <w:marRight w:val="0"/>
      <w:marTop w:val="0"/>
      <w:marBottom w:val="0"/>
      <w:divBdr>
        <w:top w:val="none" w:sz="0" w:space="0" w:color="auto"/>
        <w:left w:val="none" w:sz="0" w:space="0" w:color="auto"/>
        <w:bottom w:val="none" w:sz="0" w:space="0" w:color="auto"/>
        <w:right w:val="none" w:sz="0" w:space="0" w:color="auto"/>
      </w:divBdr>
    </w:div>
    <w:div w:id="1927954632">
      <w:bodyDiv w:val="1"/>
      <w:marLeft w:val="0"/>
      <w:marRight w:val="0"/>
      <w:marTop w:val="0"/>
      <w:marBottom w:val="0"/>
      <w:divBdr>
        <w:top w:val="none" w:sz="0" w:space="0" w:color="auto"/>
        <w:left w:val="none" w:sz="0" w:space="0" w:color="auto"/>
        <w:bottom w:val="none" w:sz="0" w:space="0" w:color="auto"/>
        <w:right w:val="none" w:sz="0" w:space="0" w:color="auto"/>
      </w:divBdr>
    </w:div>
    <w:div w:id="2022193908">
      <w:bodyDiv w:val="1"/>
      <w:marLeft w:val="0"/>
      <w:marRight w:val="0"/>
      <w:marTop w:val="0"/>
      <w:marBottom w:val="0"/>
      <w:divBdr>
        <w:top w:val="none" w:sz="0" w:space="0" w:color="auto"/>
        <w:left w:val="none" w:sz="0" w:space="0" w:color="auto"/>
        <w:bottom w:val="none" w:sz="0" w:space="0" w:color="auto"/>
        <w:right w:val="none" w:sz="0" w:space="0" w:color="auto"/>
      </w:divBdr>
      <w:divsChild>
        <w:div w:id="166673102">
          <w:marLeft w:val="0"/>
          <w:marRight w:val="0"/>
          <w:marTop w:val="600"/>
          <w:marBottom w:val="900"/>
          <w:divBdr>
            <w:top w:val="none" w:sz="0" w:space="0" w:color="auto"/>
            <w:left w:val="none" w:sz="0" w:space="0" w:color="auto"/>
            <w:bottom w:val="none" w:sz="0" w:space="0" w:color="auto"/>
            <w:right w:val="none" w:sz="0" w:space="0" w:color="auto"/>
          </w:divBdr>
          <w:divsChild>
            <w:div w:id="147016549">
              <w:marLeft w:val="0"/>
              <w:marRight w:val="0"/>
              <w:marTop w:val="0"/>
              <w:marBottom w:val="0"/>
              <w:divBdr>
                <w:top w:val="none" w:sz="0" w:space="0" w:color="auto"/>
                <w:left w:val="none" w:sz="0" w:space="0" w:color="auto"/>
                <w:bottom w:val="none" w:sz="0" w:space="0" w:color="auto"/>
                <w:right w:val="single" w:sz="6" w:space="30" w:color="EEEEEE"/>
              </w:divBdr>
              <w:divsChild>
                <w:div w:id="17216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'2018年5月'!$A$290:$A$291</c:f>
              <c:strCache>
                <c:ptCount val="2"/>
                <c:pt idx="0">
                  <c:v>现金及债券类</c:v>
                </c:pt>
                <c:pt idx="1">
                  <c:v>融资类</c:v>
                </c:pt>
              </c:strCache>
            </c:strRef>
          </c:cat>
          <c:val>
            <c:numRef>
              <c:f>'2018年5月'!$B$290:$B$291</c:f>
              <c:numCache>
                <c:formatCode>0.00%</c:formatCode>
                <c:ptCount val="2"/>
                <c:pt idx="0">
                  <c:v>3.6702509053023795E-2</c:v>
                </c:pt>
                <c:pt idx="1">
                  <c:v>0.9632974909462001</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dPt>
            <c:idx val="3"/>
            <c:bubble3D val="0"/>
          </c:dPt>
          <c:dLbls>
            <c:dLbl>
              <c:idx val="2"/>
              <c:layout>
                <c:manualLayout>
                  <c:x val="0.18374508822235372"/>
                  <c:y val="-4.8058037689109089E-3"/>
                </c:manualLayout>
              </c:layout>
              <c:spPr/>
              <c:txPr>
                <a:bodyPr/>
                <a:lstStyle/>
                <a:p>
                  <a:pPr>
                    <a:defRPr/>
                  </a:pPr>
                  <a:endParaRPr lang="zh-CN"/>
                </a:p>
              </c:txPr>
              <c:dLblPos val="bestFit"/>
              <c:showLegendKey val="0"/>
              <c:showVal val="1"/>
              <c:showCatName val="0"/>
              <c:showSerName val="0"/>
              <c:showPercent val="0"/>
              <c:showBubbleSize val="0"/>
            </c:dLbl>
            <c:showLegendKey val="0"/>
            <c:showVal val="1"/>
            <c:showCatName val="0"/>
            <c:showSerName val="0"/>
            <c:showPercent val="0"/>
            <c:showBubbleSize val="0"/>
            <c:showLeaderLines val="1"/>
          </c:dLbls>
          <c:cat>
            <c:strRef>
              <c:f>'2018年5月'!$A$299:$A$303</c:f>
              <c:strCache>
                <c:ptCount val="5"/>
                <c:pt idx="0">
                  <c:v>A+</c:v>
                </c:pt>
                <c:pt idx="1">
                  <c:v>AA</c:v>
                </c:pt>
                <c:pt idx="2">
                  <c:v>AA-</c:v>
                </c:pt>
                <c:pt idx="3">
                  <c:v>AAA</c:v>
                </c:pt>
                <c:pt idx="4">
                  <c:v>无</c:v>
                </c:pt>
              </c:strCache>
            </c:strRef>
          </c:cat>
          <c:val>
            <c:numRef>
              <c:f>'2018年5月'!$B$299:$B$303</c:f>
              <c:numCache>
                <c:formatCode>0.00%</c:formatCode>
                <c:ptCount val="5"/>
                <c:pt idx="0">
                  <c:v>2.8423347038636039E-3</c:v>
                </c:pt>
                <c:pt idx="1">
                  <c:v>7.3313286461655233E-2</c:v>
                </c:pt>
                <c:pt idx="2">
                  <c:v>0.35827628942200729</c:v>
                </c:pt>
                <c:pt idx="3">
                  <c:v>0.14917519970777482</c:v>
                </c:pt>
                <c:pt idx="4">
                  <c:v>0.41639288970469912</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55520070480703"/>
          <c:y val="6.0647999912873958E-2"/>
          <c:w val="0.70761375107831803"/>
          <c:h val="0.79810675117892416"/>
        </c:manualLayout>
      </c:layout>
      <c:barChart>
        <c:barDir val="bar"/>
        <c:grouping val="clustered"/>
        <c:varyColors val="0"/>
        <c:ser>
          <c:idx val="0"/>
          <c:order val="0"/>
          <c:tx>
            <c:strRef>
              <c:f>'2018年5月'!$B$306</c:f>
              <c:strCache>
                <c:ptCount val="1"/>
                <c:pt idx="0">
                  <c:v>5月各行业</c:v>
                </c:pt>
              </c:strCache>
            </c:strRef>
          </c:tx>
          <c:invertIfNegative val="0"/>
          <c:cat>
            <c:strRef>
              <c:f>'2018年5月'!$A$307:$A$310</c:f>
              <c:strCache>
                <c:ptCount val="4"/>
                <c:pt idx="0">
                  <c:v>租赁和商务服务业</c:v>
                </c:pt>
                <c:pt idx="1">
                  <c:v>电力、热力、燃气及水的生产和供应业</c:v>
                </c:pt>
                <c:pt idx="2">
                  <c:v>居民服务和其他服务业</c:v>
                </c:pt>
                <c:pt idx="3">
                  <c:v>建筑业</c:v>
                </c:pt>
              </c:strCache>
            </c:strRef>
          </c:cat>
          <c:val>
            <c:numRef>
              <c:f>'2018年5月'!$B$307:$B$310</c:f>
              <c:numCache>
                <c:formatCode>0.00%</c:formatCode>
                <c:ptCount val="4"/>
                <c:pt idx="0">
                  <c:v>0.74724538645892902</c:v>
                </c:pt>
                <c:pt idx="1">
                  <c:v>3.5055461347651119E-2</c:v>
                </c:pt>
                <c:pt idx="2">
                  <c:v>6.8523952485645051E-2</c:v>
                </c:pt>
                <c:pt idx="3">
                  <c:v>0.14917519970777482</c:v>
                </c:pt>
              </c:numCache>
            </c:numRef>
          </c:val>
        </c:ser>
        <c:ser>
          <c:idx val="1"/>
          <c:order val="1"/>
          <c:tx>
            <c:strRef>
              <c:f>'2018年5月'!$C$306</c:f>
              <c:strCache>
                <c:ptCount val="1"/>
                <c:pt idx="0">
                  <c:v>4月各行业</c:v>
                </c:pt>
              </c:strCache>
            </c:strRef>
          </c:tx>
          <c:invertIfNegative val="0"/>
          <c:cat>
            <c:strRef>
              <c:f>'2018年5月'!$A$307:$A$310</c:f>
              <c:strCache>
                <c:ptCount val="4"/>
                <c:pt idx="0">
                  <c:v>租赁和商务服务业</c:v>
                </c:pt>
                <c:pt idx="1">
                  <c:v>电力、热力、燃气及水的生产和供应业</c:v>
                </c:pt>
                <c:pt idx="2">
                  <c:v>居民服务和其他服务业</c:v>
                </c:pt>
                <c:pt idx="3">
                  <c:v>建筑业</c:v>
                </c:pt>
              </c:strCache>
            </c:strRef>
          </c:cat>
          <c:val>
            <c:numRef>
              <c:f>'2018年5月'!$C$307:$C$310</c:f>
              <c:numCache>
                <c:formatCode>0.00%</c:formatCode>
                <c:ptCount val="4"/>
                <c:pt idx="0">
                  <c:v>0.7591696219682198</c:v>
                </c:pt>
                <c:pt idx="1">
                  <c:v>3.4611834132631053E-2</c:v>
                </c:pt>
                <c:pt idx="2" formatCode="0%">
                  <c:v>2.1416072369565466E-2</c:v>
                </c:pt>
                <c:pt idx="3" formatCode="0%">
                  <c:v>0.18480247152958368</c:v>
                </c:pt>
              </c:numCache>
            </c:numRef>
          </c:val>
        </c:ser>
        <c:ser>
          <c:idx val="2"/>
          <c:order val="2"/>
          <c:tx>
            <c:strRef>
              <c:f>'2018年5月'!$D$306</c:f>
              <c:strCache>
                <c:ptCount val="1"/>
                <c:pt idx="0">
                  <c:v>行业变化</c:v>
                </c:pt>
              </c:strCache>
            </c:strRef>
          </c:tx>
          <c:invertIfNegative val="0"/>
          <c:cat>
            <c:strRef>
              <c:f>'2018年5月'!$A$307:$A$310</c:f>
              <c:strCache>
                <c:ptCount val="4"/>
                <c:pt idx="0">
                  <c:v>租赁和商务服务业</c:v>
                </c:pt>
                <c:pt idx="1">
                  <c:v>电力、热力、燃气及水的生产和供应业</c:v>
                </c:pt>
                <c:pt idx="2">
                  <c:v>居民服务和其他服务业</c:v>
                </c:pt>
                <c:pt idx="3">
                  <c:v>建筑业</c:v>
                </c:pt>
              </c:strCache>
            </c:strRef>
          </c:cat>
          <c:val>
            <c:numRef>
              <c:f>'2018年5月'!$D$307:$D$310</c:f>
              <c:numCache>
                <c:formatCode>0.00%</c:formatCode>
                <c:ptCount val="4"/>
                <c:pt idx="0">
                  <c:v>-1.1924235509290781E-2</c:v>
                </c:pt>
                <c:pt idx="1">
                  <c:v>4.4362721502006625E-4</c:v>
                </c:pt>
                <c:pt idx="2">
                  <c:v>4.7107880116079581E-2</c:v>
                </c:pt>
                <c:pt idx="3">
                  <c:v>-3.5627271821808859E-2</c:v>
                </c:pt>
              </c:numCache>
            </c:numRef>
          </c:val>
        </c:ser>
        <c:dLbls>
          <c:showLegendKey val="0"/>
          <c:showVal val="0"/>
          <c:showCatName val="0"/>
          <c:showSerName val="0"/>
          <c:showPercent val="0"/>
          <c:showBubbleSize val="0"/>
        </c:dLbls>
        <c:gapWidth val="150"/>
        <c:axId val="125853696"/>
        <c:axId val="125855232"/>
      </c:barChart>
      <c:catAx>
        <c:axId val="125853696"/>
        <c:scaling>
          <c:orientation val="minMax"/>
        </c:scaling>
        <c:delete val="0"/>
        <c:axPos val="l"/>
        <c:numFmt formatCode="General" sourceLinked="1"/>
        <c:majorTickMark val="out"/>
        <c:minorTickMark val="none"/>
        <c:tickLblPos val="nextTo"/>
        <c:txPr>
          <a:bodyPr/>
          <a:lstStyle/>
          <a:p>
            <a:pPr>
              <a:defRPr sz="1000" baseline="0"/>
            </a:pPr>
            <a:endParaRPr lang="zh-CN"/>
          </a:p>
        </c:txPr>
        <c:crossAx val="125855232"/>
        <c:crosses val="autoZero"/>
        <c:auto val="1"/>
        <c:lblAlgn val="ctr"/>
        <c:lblOffset val="100"/>
        <c:noMultiLvlLbl val="0"/>
      </c:catAx>
      <c:valAx>
        <c:axId val="125855232"/>
        <c:scaling>
          <c:orientation val="minMax"/>
          <c:max val="1"/>
          <c:min val="-0.2"/>
        </c:scaling>
        <c:delete val="0"/>
        <c:axPos val="b"/>
        <c:majorGridlines/>
        <c:numFmt formatCode="0%" sourceLinked="0"/>
        <c:majorTickMark val="out"/>
        <c:minorTickMark val="none"/>
        <c:tickLblPos val="nextTo"/>
        <c:txPr>
          <a:bodyPr/>
          <a:lstStyle/>
          <a:p>
            <a:pPr>
              <a:defRPr sz="1000" baseline="0"/>
            </a:pPr>
            <a:endParaRPr lang="zh-CN"/>
          </a:p>
        </c:txPr>
        <c:crossAx val="125853696"/>
        <c:crosses val="autoZero"/>
        <c:crossBetween val="between"/>
        <c:majorUnit val="0.2"/>
      </c:valAx>
    </c:plotArea>
    <c:legend>
      <c:legendPos val="r"/>
      <c:overlay val="0"/>
      <c:txPr>
        <a:bodyPr/>
        <a:lstStyle/>
        <a:p>
          <a:pPr>
            <a:defRPr sz="1000"/>
          </a:pPr>
          <a:endParaRPr lang="zh-CN"/>
        </a:p>
      </c:txPr>
    </c:legend>
    <c:plotVisOnly val="1"/>
    <c:dispBlanksAs val="gap"/>
    <c:showDLblsOverMax val="0"/>
  </c:chart>
  <c:txPr>
    <a:bodyPr/>
    <a:lstStyle/>
    <a:p>
      <a:pPr>
        <a:defRPr sz="800" baseline="0"/>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陈策</cp:lastModifiedBy>
  <cp:revision>3</cp:revision>
  <dcterms:created xsi:type="dcterms:W3CDTF">2018-06-04T08:16:00Z</dcterms:created>
  <dcterms:modified xsi:type="dcterms:W3CDTF">2018-06-04T08:16:00Z</dcterms:modified>
</cp:coreProperties>
</file>